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888" w:type="pct"/>
        <w:jc w:val="center"/>
        <w:tblCellSpacing w:w="0" w:type="dxa"/>
        <w:tblCellMar>
          <w:left w:w="0" w:type="dxa"/>
          <w:right w:w="0" w:type="dxa"/>
        </w:tblCellMar>
        <w:tblLook w:val="04A0" w:firstRow="1" w:lastRow="0" w:firstColumn="1" w:lastColumn="0" w:noHBand="0" w:noVBand="1"/>
      </w:tblPr>
      <w:tblGrid>
        <w:gridCol w:w="2708"/>
        <w:gridCol w:w="4311"/>
      </w:tblGrid>
      <w:tr w:rsidR="00A1241C" w:rsidRPr="00A1241C" w:rsidTr="00A1241C">
        <w:trPr>
          <w:tblCellSpacing w:w="0" w:type="dxa"/>
          <w:jc w:val="center"/>
        </w:trPr>
        <w:tc>
          <w:tcPr>
            <w:tcW w:w="1929" w:type="pct"/>
            <w:hideMark/>
          </w:tcPr>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ascii="Verdana" w:eastAsia="Times New Roman" w:hAnsi="Verdana" w:cs="Times New Roman"/>
                <w:b/>
                <w:bCs/>
                <w:color w:val="000000"/>
                <w:szCs w:val="24"/>
                <w:lang w:eastAsia="vi-VN"/>
              </w:rPr>
              <w:t>CHÍNH PHỦ</w:t>
            </w:r>
            <w:r w:rsidRPr="00A1241C">
              <w:rPr>
                <w:rFonts w:eastAsia="Times New Roman" w:cs="Times New Roman"/>
                <w:b/>
                <w:bCs/>
                <w:color w:val="000000"/>
                <w:szCs w:val="24"/>
                <w:lang w:eastAsia="vi-VN"/>
              </w:rPr>
              <w:br/>
            </w:r>
            <w:r w:rsidRPr="00A1241C">
              <w:rPr>
                <w:rFonts w:eastAsia="Times New Roman" w:cs="Times New Roman"/>
                <w:color w:val="000000"/>
                <w:szCs w:val="24"/>
                <w:vertAlign w:val="superscript"/>
                <w:lang w:eastAsia="vi-VN"/>
              </w:rPr>
              <w:t>------------</w:t>
            </w:r>
          </w:p>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eastAsia="Times New Roman" w:cs="Times New Roman"/>
                <w:color w:val="000000"/>
                <w:szCs w:val="24"/>
                <w:lang w:eastAsia="vi-VN"/>
              </w:rPr>
              <w:t xml:space="preserve">Số: </w:t>
            </w:r>
            <w:r w:rsidRPr="00A1241C">
              <w:rPr>
                <w:rFonts w:eastAsia="Times New Roman" w:cs="Times New Roman"/>
                <w:b/>
                <w:bCs/>
                <w:color w:val="000000"/>
                <w:szCs w:val="24"/>
                <w:lang w:eastAsia="vi-VN"/>
              </w:rPr>
              <w:t>37</w:t>
            </w:r>
            <w:r w:rsidRPr="00A1241C">
              <w:rPr>
                <w:rFonts w:eastAsia="Times New Roman" w:cs="Times New Roman"/>
                <w:color w:val="000000"/>
                <w:szCs w:val="24"/>
                <w:lang w:eastAsia="vi-VN"/>
              </w:rPr>
              <w:t>/2006/NĐ-CP</w:t>
            </w:r>
          </w:p>
        </w:tc>
        <w:tc>
          <w:tcPr>
            <w:tcW w:w="3071" w:type="pct"/>
            <w:hideMark/>
          </w:tcPr>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ascii="Verdana" w:eastAsia="Times New Roman" w:hAnsi="Verdana" w:cs="Times New Roman"/>
                <w:b/>
                <w:bCs/>
                <w:color w:val="000000"/>
                <w:szCs w:val="24"/>
                <w:lang w:eastAsia="vi-VN"/>
              </w:rPr>
              <w:t xml:space="preserve">CỘNG HOÀ XÃ HỘI CHỦ NGHĨA VIỆT </w:t>
            </w:r>
            <w:smartTag w:uri="urn:schemas-microsoft-com:office:smarttags" w:element="country-region">
              <w:smartTag w:uri="urn:schemas-microsoft-com:office:smarttags" w:element="place">
                <w:r w:rsidRPr="00A1241C">
                  <w:rPr>
                    <w:rFonts w:ascii="Verdana" w:eastAsia="Times New Roman" w:hAnsi="Verdana" w:cs="Times New Roman"/>
                    <w:b/>
                    <w:bCs/>
                    <w:color w:val="000000"/>
                    <w:szCs w:val="24"/>
                    <w:lang w:eastAsia="vi-VN"/>
                  </w:rPr>
                  <w:t>NAM</w:t>
                </w:r>
              </w:smartTag>
            </w:smartTag>
            <w:r w:rsidRPr="00A1241C">
              <w:rPr>
                <w:rFonts w:eastAsia="Times New Roman" w:cs="Times New Roman"/>
                <w:b/>
                <w:bCs/>
                <w:color w:val="000000"/>
                <w:szCs w:val="24"/>
                <w:lang w:eastAsia="vi-VN"/>
              </w:rPr>
              <w:br/>
              <w:t>Độc lập - Tự do - Hạnh phúc</w:t>
            </w:r>
            <w:r w:rsidRPr="00A1241C">
              <w:rPr>
                <w:rFonts w:eastAsia="Times New Roman" w:cs="Times New Roman"/>
                <w:b/>
                <w:bCs/>
                <w:color w:val="000000"/>
                <w:szCs w:val="24"/>
                <w:lang w:eastAsia="vi-VN"/>
              </w:rPr>
              <w:br/>
            </w:r>
            <w:r w:rsidRPr="00A1241C">
              <w:rPr>
                <w:rFonts w:eastAsia="Times New Roman" w:cs="Times New Roman"/>
                <w:color w:val="000000"/>
                <w:szCs w:val="24"/>
                <w:vertAlign w:val="superscript"/>
                <w:lang w:eastAsia="vi-VN"/>
              </w:rPr>
              <w:t>-----------------------------------------</w:t>
            </w:r>
          </w:p>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ascii="Verdana" w:eastAsia="Times New Roman" w:hAnsi="Verdana" w:cs="Times New Roman"/>
                <w:i/>
                <w:iCs/>
                <w:color w:val="000000"/>
                <w:szCs w:val="24"/>
                <w:lang w:eastAsia="vi-VN"/>
              </w:rPr>
              <w:t>Hà Nội, ngày 04 tháng 4 năm 2006</w:t>
            </w:r>
          </w:p>
        </w:tc>
      </w:tr>
    </w:tbl>
    <w:p w:rsidR="00A1241C" w:rsidRPr="00A1241C" w:rsidRDefault="00A1241C" w:rsidP="00A1241C">
      <w:pPr>
        <w:spacing w:before="100" w:beforeAutospacing="1" w:after="100" w:afterAutospacing="1" w:line="210" w:lineRule="atLeast"/>
        <w:jc w:val="both"/>
        <w:rPr>
          <w:rFonts w:ascii="Verdana" w:eastAsia="Times New Roman" w:hAnsi="Verdana" w:cs="Times New Roman"/>
          <w:b/>
          <w:bCs/>
          <w:color w:val="000000"/>
          <w:sz w:val="17"/>
          <w:szCs w:val="17"/>
          <w:lang w:eastAsia="vi-VN"/>
        </w:rPr>
      </w:pPr>
    </w:p>
    <w:p w:rsidR="00A1241C" w:rsidRPr="00A1241C" w:rsidRDefault="00A1241C" w:rsidP="00A1241C">
      <w:pPr>
        <w:spacing w:before="100" w:beforeAutospacing="1" w:after="100" w:afterAutospacing="1" w:line="210" w:lineRule="atLeast"/>
        <w:jc w:val="center"/>
        <w:rPr>
          <w:rFonts w:eastAsia="Times New Roman" w:cs="Times New Roman"/>
          <w:color w:val="000000"/>
          <w:sz w:val="17"/>
          <w:szCs w:val="17"/>
          <w:lang w:eastAsia="vi-VN"/>
        </w:rPr>
      </w:pPr>
      <w:r w:rsidRPr="00A1241C">
        <w:rPr>
          <w:rFonts w:ascii="Verdana" w:eastAsia="Times New Roman" w:hAnsi="Verdana" w:cs="Times New Roman"/>
          <w:b/>
          <w:bCs/>
          <w:color w:val="000000"/>
          <w:szCs w:val="24"/>
          <w:lang w:eastAsia="vi-VN"/>
        </w:rPr>
        <w:t>NGHỊ ĐỊNH</w:t>
      </w:r>
      <w:r w:rsidRPr="00A1241C">
        <w:rPr>
          <w:rFonts w:eastAsia="Times New Roman" w:cs="Times New Roman"/>
          <w:b/>
          <w:bCs/>
          <w:color w:val="000000"/>
          <w:szCs w:val="24"/>
          <w:lang w:eastAsia="vi-VN"/>
        </w:rPr>
        <w:br/>
        <w:t>Quy định chi tiết Luật Thương mại về hoạt động xúc tiến thương mại</w:t>
      </w:r>
      <w:r w:rsidRPr="00A1241C">
        <w:rPr>
          <w:rFonts w:eastAsia="Times New Roman" w:cs="Times New Roman"/>
          <w:b/>
          <w:bCs/>
          <w:color w:val="000000"/>
          <w:szCs w:val="24"/>
          <w:lang w:eastAsia="vi-VN"/>
        </w:rPr>
        <w:br/>
      </w:r>
      <w:r w:rsidRPr="00A1241C">
        <w:rPr>
          <w:rFonts w:eastAsia="Times New Roman" w:cs="Times New Roman"/>
          <w:color w:val="000000"/>
          <w:szCs w:val="24"/>
          <w:vertAlign w:val="superscript"/>
          <w:lang w:eastAsia="vi-VN"/>
        </w:rPr>
        <w:t>________</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eastAsia="vi-VN"/>
        </w:rPr>
      </w:pPr>
      <w:r w:rsidRPr="00A1241C">
        <w:rPr>
          <w:rFonts w:ascii="Verdana" w:eastAsia="Times New Roman" w:hAnsi="Verdana" w:cs="Times New Roman"/>
          <w:b/>
          <w:bCs/>
          <w:color w:val="000000"/>
          <w:szCs w:val="24"/>
          <w:lang w:eastAsia="vi-VN"/>
        </w:rPr>
        <w:t>CHÍNH PHỦ</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eastAsia="vi-VN"/>
        </w:rPr>
      </w:pPr>
      <w:r w:rsidRPr="00A1241C">
        <w:rPr>
          <w:rFonts w:eastAsia="Times New Roman" w:cs="Times New Roman"/>
          <w:color w:val="000000"/>
          <w:szCs w:val="24"/>
          <w:lang w:eastAsia="vi-VN"/>
        </w:rPr>
        <w:t>Căn cứ Luật Tổ chức Chính phủ ngày 25 tháng 12 năm 2001;</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eastAsia="vi-VN"/>
        </w:rPr>
      </w:pPr>
      <w:r w:rsidRPr="00A1241C">
        <w:rPr>
          <w:rFonts w:eastAsia="Times New Roman" w:cs="Times New Roman"/>
          <w:color w:val="000000"/>
          <w:szCs w:val="24"/>
          <w:lang w:eastAsia="vi-VN"/>
        </w:rPr>
        <w:t>Căn cứ Luật Thương mại ngày 14 tháng 6 năm 2005;</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eastAsia="vi-VN"/>
        </w:rPr>
      </w:pPr>
      <w:r w:rsidRPr="00A1241C">
        <w:rPr>
          <w:rFonts w:eastAsia="Times New Roman" w:cs="Times New Roman"/>
          <w:color w:val="000000"/>
          <w:szCs w:val="24"/>
          <w:lang w:eastAsia="vi-VN"/>
        </w:rPr>
        <w:t>Theo đề nghị của Bộ trưởng Bộ Thương mại,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NGHỊ ĐỊNH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I</w:t>
      </w:r>
      <w:r w:rsidRPr="00A1241C">
        <w:rPr>
          <w:rFonts w:eastAsia="Times New Roman" w:cs="Times New Roman"/>
          <w:b/>
          <w:bCs/>
          <w:color w:val="000000"/>
          <w:szCs w:val="24"/>
          <w:lang w:val="en-US" w:eastAsia="vi-VN"/>
        </w:rPr>
        <w:br/>
        <w:t>QUY ĐỊNH CHUNG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 Phạm vi điều chỉnh</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Nghị định này quy định chi tiết thi hành Luật Thương mại về một số hoạt động xúc tiến thương mại, bao gồm khuyến mại; quảng cáo thương mại;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 Đối tượng áp dụng</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1. Thương nhân trực tiếp thực hiện hoạt động xúc tiến thương mại và thương nhân kinh doanh dịch vụ xúc tiến thương mại.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Các tổ chức hoạt động có liên quan đến thương mại, các đối tượng có quyền hoạt động xúc tiến thương mại quy định tại Điều 91, Điều 103, Điều 131 Luật Thương mại khi thực hiện hoạt động xúc tiến thương mại phải tuân thủ các quy định tại Nghị định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3. Cá nhân hoạt động thương mại độc lập, thường xuyên không phải đăng ký kinh doanh quy định tại khoản 3 Điều 2 của Luật Thương mại được thực hiện các hoạt động xúc tiến thương mại quy định tại Nghị định này như thương nhân, trừ các hoạt động được quy định tại Điều 11, Điều 12, Điều 13, Điều 34 và Điều 36 Nghị định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 Quản lý nhà nước về hoạt động xúc tiến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Bộ Thương mại chịu trách nhiệm trước Chính phủ thực hiện chức năng quản lý nhà nước về hoạt động xúc tiến thương mại được quy định tại Luật Thương mại và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2. Các Bộ, cơ quan ngang Bộ, cơ quan thuộc Chính phủ trong phạm vi nhiệm vụ và quyền hạn của mình có trách nhiệm phối hợp với Bộ Thương mại thực hiện quản lý nhà nước về  hoạt động xúc tiến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Ủy ban nhân dân tỉnh, thành phố trực thuộc Trung ương (sau đây gọi chung là Ủy ban nhân dân cấp tỉnh), trong phạm vi nhiệm vụ và quyền hạn của mình, chỉ đạo Sở Thương mại, Sở Thương mại - Du lịch (sau đây gọi chung là Sở Thương mại) thực hiện quản lý Nhà nước về hoạt động xúc tiến thương mại theo quy định của pháp luật.</w:t>
      </w:r>
      <w:r w:rsidRPr="00A1241C">
        <w:rPr>
          <w:rFonts w:eastAsia="Times New Roman" w:cs="Times New Roman"/>
          <w:b/>
          <w:bCs/>
          <w:color w:val="000000"/>
          <w:szCs w:val="24"/>
          <w:lang w:val="en-US" w:eastAsia="vi-VN"/>
        </w:rPr>
        <w:t> </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II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KHUYẾN MẠI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1</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 xml:space="preserve">NGUYÊN TẮC THỰC HIỆN KHUYẾN MẠI, HẠN MỨC TỐI ĐA GIÁ TRỊ CỦA HÀNG HOÁ, DỊCH VỤ DÙNG ĐỂ KHUYẾN MẠI VÀ MỨC GIẢM GIÁ TỐI ĐA </w:t>
      </w:r>
      <w:r w:rsidRPr="00A1241C">
        <w:rPr>
          <w:rFonts w:eastAsia="Times New Roman" w:cs="Times New Roman"/>
          <w:b/>
          <w:bCs/>
          <w:color w:val="000000"/>
          <w:szCs w:val="24"/>
          <w:lang w:val="en-US" w:eastAsia="vi-VN"/>
        </w:rPr>
        <w:br/>
        <w:t>ĐỐI VỚI HÀNG HOÁ,  DỊCH VỤ ĐƯỢC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4. Nguyên tắc thực hiện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Chương trình khuyến mại phải được thực hiện hợp pháp, trung thực, công khai, minh bạch và không được xâm hại đến lợi ích hợp pháp của người tiêu dùng, của các thương nhân, tổ chức hoặc cá nhân khác.</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Không được phân biệt đối xử giữa các khách hàng tham gia chương trình khuyến mại trong cùng một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Thương nhân thực hiện chương trình khuyến mại phải bảo đảm những điều kiện thuận lợi cho khách hàng trúng thưởng nhận giải thưởng và có nghĩa vụ giải quyết rõ ràng, nhanh chóng các khiếu nại liên quan đến chương trình khuyến mại (nếu có).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4. Thương nhân thực hiện khuyến mại có trách nhiệm bảo đảm về chất lượng hàng hóa, dịch vụ được khuyến mại và hàng hóa, dịch vụ dùng để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Không được lợi dụng lòng tin và sự thiếu hiểu biết, thiếu kinh nghiệm của khách hàng để thực hiện khuyến mại nhằm phục vụ cho mục đích riêng của bất kỳ thương nhân, tổ chức hoặc cá nhân nào.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6. Việc thực hiện khuyến mại không được tạo ra sự so sánh trực tiếp hàng hóa, dịch vụ của mình với hàng hóa, dịch vụ của thương nhân, tổ chức hoặc cá nhân khác nhằm mục đích cạnh tranh không lành mạnh.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7. Không được dùng thuốc chữa bệnh cho người (kể cả các loại thuốc đã được phép lưu thông) để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5. Hạn mức tối đa về giá trị hàng hoá, dịch vụ dùng để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1. Giá trị vật chất dùng để khuyến mại cho một đơn vị hàng hóa, dịch vụ được khuyến mại không được vượt quá 50% giá của đơn vị hàng hoá, dịch vụ được khuyến mại đó trước thời gian khuyến mại, trừ trường hợp khuyến mại bằng các hình thức quy định tại Điều 7, Điều 8, Điều 11, Điều 12, Điều 13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Tổng giá trị của hàng hoá, dịch vụ dùng để khuyến mại mà thương nhân thực hiện trong một chương trình khuyến mại không được vượt quá 50% tổng giá trị của hàng hoá, dịch vụ được khuyến mại, trừ trường hợp khuyến mại bằng hình thức quy định tại Điều 7 Nghị định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Giá trị hàng hoá, dịch vụ dùng để khuyến mại là chi phí mà thương nhân thực hiện khuyến mại phải bỏ ra để có được hàng hoá, dịch vụ dùng để khuyến mại tại thời điểm khuyến mại, thuộc một trong các trường hợp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Thương nhân thực hiện khuyến mại không trực tiếp sản xuất, nhập khẩu hàng hoá hoặc không trực tiếp cung ứng dịch vụ dùng để khuyến mại, chi phí này được tính bằng giá thanh toán của thương nhân thực hiện khuyến mại để mua hàng hoá, dịch vụ dùng để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b) Hàng hoá, dịch vụ dùng để khuyến mại là hàng hoá của thương nhân đó trực tiếp sản xuất, nhập khẩu hoặc cung ứng dịch vụ, chi phí này được tính bằng giá thành hoặc giá nhập khẩu của hàng hoá, dịch vụ dùng để khuyến mại.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6. Mức giảm giá tối đa đối với hàng hoá, dịch vụ được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Mức giảm giá tối đa đối với hàng hoá, dịch vụ được khuyến mại không được vượt quá 50% giá hàng hoá, dịch vụ đó ngay trước thời gian khuyến mại.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2</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CÁC HÌNH THỨC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7. Đưa hàng mẫu, cung ứng dịch vụ mẫu để khách hàng dùng thử không phải trả tiền</w:t>
      </w:r>
      <w:r w:rsidRPr="00A1241C">
        <w:rPr>
          <w:rFonts w:eastAsia="Times New Roman" w:cs="Times New Roman"/>
          <w:color w:val="000000"/>
          <w:szCs w:val="24"/>
          <w:lang w:val="en-US" w:eastAsia="vi-VN"/>
        </w:rPr>
        <w:t>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1. Hàng mẫu đưa cho khách hàng, dịch vụ mẫu cung ứng cho khách hàng dùng thử phải là hàng hoá, dịch vụ được kinh doanh hợp pháp mà thương nhân đang hoặc sẽ bán, cung ứng trên thị trường.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Khi nhận hàng mẫu, dịch vụ mẫu, khách hàng không phải thực hiện bất kỳ nghĩa vụ thanh toán nào.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Thương nhân thực hiện chương trình khuyến mại theo hình thức đưa hàng mẫu, cung ứng dịch vụ mẫu phải chịu trách nhiệm về chất lượng của hàng mẫu, dịch vụ mẫu và phải thông báo cho khách hàng đầy đủ thông tin liên quan đến việc sử dụng hàng mẫu, dịch vụ mẫu.</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lastRenderedPageBreak/>
        <w:t>Điều 8. Tặng hàng hóa cho khách hàng, cung ứng dịch vụ không thu tiền; không kèm theo việc mua, bán hàng hóa, cung ứng dịch vụ</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Thương nhân thực hiện chương trình khuyến mại bằng hình thức tặng hàng hoá cho khách hàng, cung ứng dịch vụ không thu tiền, không kèm theo việc mua, bán hàng hoá, cung ứng dịch vụ. Phải chịu trách nhiệm về chất lượng của hàng hoá, tặng cho khách hàng, dịch vụ không thu tiền và phải thông báo cho khách hàng đầy đủ thông tin liên quan đến việc sử dụng hàng hoá, dịch vụ đó.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9. Bán hàng, cung ứng dịch vụ với giá thấp hơn giá bán hàng, cung ứng dịch vụ trước đó</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Trong trường hợp thực hiện khuyến mại bằng hình thức giảm giá thì mức giảm giá hàng hóa, dịch vụ được khuyến mại trong thời gian khuyến mại tại bất kỳ thời điểm nào phải tuân thủ quy định tại Điều 6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Không được giảm giá bán hàng hoá, giá cung ứng dịch vụ trong trường hợp giá bán hàng hoá, dịch vụ thuộc diện Nhà nước quy định giá cụ thể.</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Không được giảm giá bán hàng hoá, giá cung ứng dịch vụ xuống thấp hơn mức giá tối thiểu trong trường hợp giá bán hàng hoá, giá cung ứng dịch vụ thuộc diện Nhà nước quy định khung giá hoặc quy định giá tối thiểu.</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4. Tổng thời gian thực hiện chương trình khuyến mại bằng cách giảm giá đối với một loại nhãn hiệu hàng hoá, dịch vụ không được vượt quá 90 (chín mươi) ngày trong một năm; một chương trình khuyến mại không được vượt quá 45 (bốn mươi lăm) ngày.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Nghiêm cấm việc lợi dụng hình thức khuyến mại này để bán phá giá hàng hóa, dịch vụ.</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10. Bán hàng, cung ứng dịch vụ có kèm theo phiếu mua hàng, phiếu sử dụng dịch vụ</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1. Phiếu mua hàng, phiếu sử dụng dịch vụ kèm theo hàng hóa được bán, dịch vụ được cung ứng là phiếu để mua hàng hóa, nhận cung ứng dịch vụ của chính thương nhân đó hoặc để mua hàng hóa, nhận cung ứng dịch vụ của thương nhân, tổ chức khác.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Giá trị tối đa của phiếu mua hàng, phiếu sử dụng dịch vụ được tặng kèm theo một đơn vị hàng hóa được bán, dịch vụ được cung ứng trong thời gian khuyến mại phải tuân thủ quy định hạn mức tối đa về giá trị vật chất dùng để khuyến mại quy định tại Điều 5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Nội dung của phiếu mua hàng, phiếu sử dụng dịch vụ phải bao gồm các thông tin liên quan được quy định tại Điều 97 Luật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11. Bán hàng, cung ứng dịch vụ có kèm theo phiếu dự thi cho khách hàng để chọn người trao thưởng theo thể lệ và giải thưởng đã công bố</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 xml:space="preserve">1. Nội dung của phiếu dự thi phải bao gồm các thông tin liên quan được quy định tại Điều 97 Luật Thương mại.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Nội dung của chương trình thi không được trái với truyền thống lịch sử, văn hóa, đạo đức, thuần phong mỹ tục Việt </w:t>
      </w:r>
      <w:smartTag w:uri="urn:schemas-microsoft-com:office:smarttags" w:element="country-region">
        <w:smartTag w:uri="urn:schemas-microsoft-com:office:smarttags" w:element="place">
          <w:r w:rsidRPr="00A1241C">
            <w:rPr>
              <w:rFonts w:eastAsia="Times New Roman" w:cs="Times New Roman"/>
              <w:color w:val="000000"/>
              <w:szCs w:val="24"/>
              <w:lang w:val="en-US" w:eastAsia="vi-VN"/>
            </w:rPr>
            <w:t>Nam</w:t>
          </w:r>
        </w:smartTag>
      </w:smartTag>
      <w:r w:rsidRPr="00A1241C">
        <w:rPr>
          <w:rFonts w:eastAsia="Times New Roman" w:cs="Times New Roman"/>
          <w:color w:val="000000"/>
          <w:szCs w:val="24"/>
          <w:lang w:val="en-US" w:eastAsia="vi-VN"/>
        </w:rPr>
        <w: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Việc tổ chức thi và mở thưởng phải được tổ chức công khai, có sự chứng kiến của đại diện khách hàng và phải được thông báo cho Sở Thương mại nơi tổ chức thi, mở thưởng.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4. Thương nhân thực hiện khuyến mại phải tổ chức thi và trao giải thưởng theo thể lệ và giải thưởng mà thương nhân đã công bố.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12. Bán hàng, cung ứng dịch vụ kèm theo việc tham dự chương trình khuyến mại mang tính may rủi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Việc mở thưởng chương trình khuyến mại mang tính may rủi phải được tổ chức công khai, theo thể lệ đã công bố, có sự chứng kiến của khách hàng. Trong trường hợp giá trị giải thưởng từ 100 triệu đồng trở lên, thương nhân phải thông báo cho cơ quan quản lý nhà nước về thương mại có thẩm quyền theo quy định tại khoản 1 Điều 15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Trong trường hợp việc trúng thưởng được xác định trên cơ sở bằng chứng trúng thưởng kèm theo hàng hóa, thương nhân thực hiện khuyến mại phải thông báo về thời gian và địa điểm thực hiện việc đưa bằng chứng trúng thưởng vào hàng hoá cho cơ quan quản lý nhà nước về thương mại có thẩm quyền theo quy định tại khoản 1 Điều 15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Chương trình khuyến mại mang tính may rủi có phát hành vé số dự thưởng phải tuân thủ các quy định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Vé số dự thưởng phải có hình thức khác với xổ số do nhà nước độc quyền phát hành và không được sử dụng kết quả xổ số của nhà nước để làm kết quả xác định trúng thưởng;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Vé số dự thưởng phải in đủ các nội dung về số lượng vé số phát hành, số lượng giải thưởng, giá trị từng loại giải thưởng, địa điểm phát thưởng, thời gian, địa điểm mở thưởng và các nội dung liên quan quy định tại Điều 97 Luật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Việc mở thưởng chỉ áp dụng cho các vé số đã được phát hành.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4. Tổng thời gian thực hiện khuyến mại đối với một loại nhãn hiệu hàng hoá, dịch vụ không được vượt quá 180 (một trăm tám mươi) ngày trong một năm, một chương trình khuyến mại không được vượt quá 90 (chín mươi) ngày.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Trong thời hạn 30 (ba mươi) ngày kể từ ngày hết thời hạn trao giải thưởng, giải thưởng không có người trúng thưởng của chương trình khuyến mại mang tính may rủi phải được trích nộp 50% giá trị đã công bố vào ngân sách nhà nước theo quy định tại khoản 4 Điều 96 Luật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6. Bộ Tài chính phối hợp với Bộ Thương mại hướng dẫn cụ thể việc thực hiện khoản 5 Điều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13. Tổ chức chương trình khách hàng thường xuyên</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1. Thương nhân thực hiện khuyến mại phải tuân thủ quy định về thông báo các thông tin liên quan tại Điều 97 Luật Thương mại; có trách nhiệm xác nhận kịp thời, chính xác sự tham gia của khách hàng vào chương trình khách hàng thường xuyên.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Thẻ khách hàng, phiếu ghi nhận việc mua hàng hóa, dịch vụ phải có đầy đủ các nội dung chủ yếu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Ghi rõ tên của thẻ hoặc phiếu;</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Điều kiện và cách thức ghi nhận sự tham gia của khách hàng vào chương trình khách hàng thường xuyên, việc mua hàng hóa, dịch vụ của khách hàng. Trong trường hợp không thể ghi đầy đủ các nội dung nêu tại điểm này thì phải cung cấp đầy đủ, kịp thời các nội dung đó cho khách hàng khi khách hàng bắt đầu tham gia vào chương trình;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Các nội dung liên quan được quy định tại Điều 97 của Luật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 xml:space="preserve">Điều 14. Khuyến mại hàng hóa, dịch vụ thông qua internet và các phương tiện điện tử khác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Đối với chương trình khuyến mại mà hàng hóa, dịch vụ được khuyến mại được mua, bán hoặc cung ứng qua internet và các phương tiện điện tử khác, thương nhân thực hiện khuyến mại phải tuân thủ các quy định về khuyến mại của Luật Thương mại và Nghị định này.</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3</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TRÌNH TỰ, THỦ TỤC ĐĂNG KÝ THỰC HIỆN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15. Thông báo về việc tổ chức thực hiện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Thương nhân thực hiện các hình thức khuyến mại quy định tại Mục 2 Chương này phải gửi thông báo bằng văn bản về chương trình khuyến mại đến Sở Thương mại nơi tổ chức khuyến mại chậm nhất 7 (bảy) ngày làm việc trước khi  thực hiện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Nội dung thông báo về chương trình khuyến mại bao gồm: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Tên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Địa bàn thực hiện khuyến mại; địa điểm bán hàng thuộc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Hình thức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Hàng hóa, dịch vụ được khuyến mại và hàng hóa, dịch vụ dùng để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đ) Thời gian bắt đầu, thời gian kết thúc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e) Khách hàng của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g) Cơ cấu giải thưởng và tổng giá trị giải thưởng của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3. Đối với hình thức khuyến mại bán hàng, cung ứng dịch vụ có kèm theo phiếu dự thi cho khách hàng để chọn người trao thưởng theo thể lệ và giải thưởng đã công bố quy định tại Điều 11 Nghị định này, trong thời hạn 7 (bảy) ngày làm việc kể từ ngày hết thời hạn trao giải thưởng của chương trình khuyến mại, thương nhân thực hiện khuyến mại có trách nhiệm: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Gửi báo cáo bằng văn bản đến Sở Thương mại nơi tổ chức khuyến mại về kết quả trúng thưởng;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16. Trình tự, thủ tục đăng ký thực hiện chương trình khuyến mại bằng hình thức bán hàng, cung ứng dịch vụ kèm theo việc tham dự các chương trình mang tính may rủi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Chương trình khuyến mại bằng hình thức bán hàng, cung ứng dịch vụ kèm theo việc tham gia các chương trình mang tính may rủi quy định tại  Điều 12 Nghị định này phải được đăng ký tại cơ quan quản lý nhà nước về thương mại có thẩm quyền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a) Sở Thương mại đối với chương trình khuyến mại thực hiện trên địa bàn một tỉnh, thành phố trực thuộc Trung ương;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Bộ Thương mại đối với chương trình khuyến mại thực hiện trên địa bàn từ hai tỉnh, thành phố trực thuộc Trung ương trở lên.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Hồ sơ đăng ký thực hiện chương trình khuyến mại bao gồm: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Văn bản đề nghị thực hiện chương trình khuyến mại theo mẫu của Bộ Thương mại. Nội dung đăng ký thực hiện chương trình khuyến mại, bao gồm: tên chương trình khuyến mại; địa bàn khuyến mại; hàng hóa, dịch vụ được khuyến mại; hàng hóa, dịch vụ dùng để khuyến mại; thời gian khuyến mại; khách hàng của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Thể lệ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Mẫu vé số dự thưởng đối với chương trình khuyến mại có phát hành vé số dự thưởng;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Hình ảnh hàng hóa khuyến mại và hàng hóa dùng để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đ) Mẫu bằng chứng trúng thưởng (nếu có);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e) Bản sao giấy xác nhận về chất lượng của hàng hóa khuyến mại, hàng hóa dùng để khuyến mại theo quy định của pháp luật (nếu có).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3. Trong thời hạn 7 (bảy) ngày làm việc, kể từ ngày nhận được hồ sơ đăng ký thực hiện chương trình khuyến mại hợp lệ, cơ quan quản lý nhà nước về thương mại có thẩm quyền quy định tại khoản 1 Điều này xem xét, xác nhận bằng văn bản việc đăng ký thực hiện chương trình khuyến mại của thương nhân; trong trường hợp không xác nhận, phải thông báo bằng văn bản và nêu rõ lý do.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4. Văn bản xác nhận việc đăng ký thực hiện chương trình khuyến mại phải bao gồm các nội dung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Tên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Hình thức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Tên, địa chỉ, số điện thoại của thương nhân thực hiện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Hàng hóa, dịch vụ được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đ) Hàng hóa, dịch vụ dùng để khuyến mại; tổng trị giá giải thưởng;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e) Thời gian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g) Địa bàn tổ chức khuyến mại; địa điểm bán hàng thuộc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h) Xử lý giải thưởng tồn đọng;</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i) Thể lệ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k) Các nghĩa vụ khác của thương nhân thực hiện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Trường hợp Bộ Thương mại là cơ quan xác nhận việc thực hiện chương trình khuyến mại, thương nhân thực hiện chương trình khuyến mại có trách nhiệm gửi văn bản thông báo cho Sở Thương mại nơi thực hiện chương trình khuyến mại kèm theo bản sao văn bản xác nhận của Bộ Thương mại trước khi thực hiện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6. Trong thời hạn 45 (bốn mươi lăm) ngày kể từ ngày hết thời hạn trao giải thưởng của chương trình khuyến mại, thương nhân thực hiện chương trình khuyến mại phải có văn bản báo cáo cơ quan quản lý nhà nước về thương mại có thẩm quyền quy định tại khoản 1 Điều này về kết quả chương trình khuyến mại và việc xử lý 50% giá trị giải thưởng không có người trúng thưởng (nếu có).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Thương nhân thực hiện chương trình khuyến mại có trách nhiệm thông báo công khai kết quả trúng thưởng trên ít nhất một phương tiện thông tin đại chúng tại tỉnh, thành phố trực thuộc Trung ương nơi tổ chức chương trình khuyến mại và tại các địa điểm bán hàng thuộc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17. Trình tự, thủ tục đăng ký thực hiện các chương trình khuyến mại bằng hình thức khác</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Các chương trình khuyến mại ngoài các hình thức quy định tại Mục 2 Chương này chỉ được thực hiện sau khi có văn bản chấp thuận của Bộ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Hồ sơ đăng ký thực hiện chương trình khuyến mại bao gồm các nội dung quy định tại khoản 2 Điều 16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3. Trong thời hạn 7 (bảy) ngày làm việc kể từ ngày nhận được hồ sơ đề nghị thực hiện chương trình khuyến mại hợp lệ, Bộ Thương mại xem xét, xác nhận bằng văn bản việc đăng </w:t>
      </w:r>
      <w:r w:rsidRPr="00A1241C">
        <w:rPr>
          <w:rFonts w:eastAsia="Times New Roman" w:cs="Times New Roman"/>
          <w:color w:val="000000"/>
          <w:szCs w:val="24"/>
          <w:lang w:val="en-US" w:eastAsia="vi-VN"/>
        </w:rPr>
        <w:lastRenderedPageBreak/>
        <w:t>ký thực hiện chương trình khuyến mại của thương nhân; trong trường hợp không xác nhận, phải thông báo bằng văn bản và nêu rõ lý do.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4. Trước khi thực hiện chương trình khuyến mại, thương nhân thực hiện khuyến mại có trách nhiệm gửi văn bản thông báo cho Sở Thương mại nơi thực hiện khuyến mại kèm theo bản sao văn bản chấp thuận của Bộ Thương mại.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Trong vòng 45 (bốn mươi lăm) ngày kể từ ngày kết thúc thời hạn trao giải thưởng của chương trình khuyến mại, thương nhân thực hiện khuyến mại phải có văn bản báo cáo Bộ Thương mại về kết quả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18. Công bố kết quả và trao thưởng chương trình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Trong trường hợp chương trình khuyến mại có trao giải thưởng, thời hạn công bố kết quả và trao giải thưởng không được vượt quá 30 (ba mươi) ngày kể từ ngày kết thúc chương trình khuyến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19. Chấm dứt thực hiện chương trình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Thương nhân thực hiện khuyến mại không được chấm dứt việc thực hiện chương trình khuyến mại trước thời hạn đã công bố hoặc đã được cơ quan quản lý nhà nước có thẩm quyền xác nhận, trừ các trường hợp quy định dưới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Trong trường hợp bất khả kháng, thương nhân có thể chấm dứt chương trình khuyến mại trước thời hạn nhưng phải thông báo công khai tới khách hàng và cơ quan quản lý nhà nước về thương mại có thẩm quyền.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Trường hợp thương nhân bị cơ quan quản lý nhà nước về thương mại có thẩm quyền buộc đình chỉ thực hiện chương trình khuyến mại trước thời hạn theo quy định tại Điều 20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20. Đình chỉ thực hiện chương trình khuyến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Cơ quan quản lý nhà nước về thương mại có thẩm quyền có quyền đình chỉ việc thực hiện toàn bộ hoặc một phần chương trình khuyến mại của thương nhân nếu phát hiện có hành vi vi phạm thuộc một trong các trường hợp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Vi phạm các quy định tại Điều 100 Luật Thương mại và Điều 4 Nghị định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Không thực hiện hoặc thực hiện không đúng hoặc không đầy đủ các nội dung trong thể lệ chương trình khuyến mại đã đăng ký tại cơ quan quản lý nhà nước về thương mại có thẩm quyền.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Thương nhân có chương trình khuyến mại bị đình chỉ có nghĩa vụ công bố công khai việc chấm dứt chương trình khuyến mại và thực hiện đầy đủ các cam kết với khách hàng đã tham gia chương trình khuyến mại đó, trừ trường hợp được quy định tại khoản 3 Điều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3. Thương nhân sử dụng hàng hóa, dịch vụ cấm kinh doanh; hàng hóa, dịch vụ hạn chế kinh doanh; hàng hóa chưa được phép lưu thông, dịch vụ chưa được phép cung ứng; rượu, bia </w:t>
      </w:r>
      <w:r w:rsidRPr="00A1241C">
        <w:rPr>
          <w:rFonts w:eastAsia="Times New Roman" w:cs="Times New Roman"/>
          <w:color w:val="000000"/>
          <w:szCs w:val="24"/>
          <w:lang w:val="en-US" w:eastAsia="vi-VN"/>
        </w:rPr>
        <w:lastRenderedPageBreak/>
        <w:t>để khuyến mại cho người dưới 18 tuổi; thuốc lá, rượu có độ cồn từ 30 độ trở lên; thuốc chữa bệnh để khuyến mại dưới mọi hình thức, khi bị đình chỉ việc thực hiện chương trình khuyến mại phải chấm dứt toàn bộ việc thực hiện chương trình khuyến mại.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III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QUẢNG CÁO THƯƠNG MẠI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1</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NỘI DUNG CỦA SẢN PHẨM QUẢNG CÁO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21. Bảo hộ quyền sở hữu trí tuệ trong hoạt động quảng cáo thương mại</w:t>
      </w:r>
      <w:r w:rsidRPr="00A1241C">
        <w:rPr>
          <w:rFonts w:eastAsia="Times New Roman" w:cs="Times New Roman"/>
          <w:color w:val="000000"/>
          <w:szCs w:val="24"/>
          <w:lang w:val="en-US" w:eastAsia="vi-VN"/>
        </w:rPr>
        <w:t>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Việc sử dụng sản phẩm quảng cáo thương mại có chứa đựng những đối tượng được bảo hộ quyền sở hữu trí tuệ phải được sự đồng ý của chủ sở hữu đối tượng được bảo hộ quyền sở hữu trí tuệ đó.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Thương nhân có quyền đăng ký bảo hộ quyền sở hữu trí tuệ đối với sản phẩm quảng cáo thương mại theo quy định của pháp luật.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22. Sản phẩm quảng cáo thương mại có nội dung so sánh với hàng giả, hàng vi phạm quyền sở hữu trí tuệ</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Thương nhân có quyền so sánh hàng hóa của mình với hàng giả, hàng vi phạm quyền sở hữu trí tuệ trong sản phẩm quảng cáo thương mại sau khi có xác nhận của cơ quan quản lý nhà nước có thẩm quyền về việc sử dụng hàng giả, hàng vi phạm quyền sở hữu trí tuệ để so sánh.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23. Bảo vệ trẻ em trong hoạt động quảng cáo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Quảng cáo thương mại đối với hàng hóa là sản phẩm dinh dưỡng dùng cho trẻ em phải tuân thủ theo các quy định của pháp luật về kinh doanh và sử dụng sản phẩm dinh dưỡng dùng cho trẻ em.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Không được lợi dụng sự thiếu hiểu biết và thiếu kinh nghiệm của trẻ em để đưa vào nội dung sản phẩm quảng cáo các thông tin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Làm giảm niềm tin của trẻ em vào gia đình và xã hội;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Trực tiếp đề nghị, khuyến khích trẻ em yêu cầu cha mẹ hoặc người khác mua hàng hóa, dịch vụ được quảng cáo;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c) Thuyết phục trẻ em về việc sử dụng hàng hóa, dịch vụ được quảng cáo sẽ có lợi thế hơn những trẻ em không sử dụng hàng hóa, dịch vụ được quảng cáo;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Tạo cho trẻ em suy nghĩ, lời nói, hành động trái với đạo đức, thuần phong mỹ tục, gây ảnh hưởng xấu đến sức khoẻ, an toàn hoặc sự phát triển bình thường của trẻ em.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lastRenderedPageBreak/>
        <w:t>Điều 24. Quảng cáo thương mại đối với hàng hoá, dịch vụ liên quan đến y tế</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Quảng cáo thương mại đối với hàng hóa, dịch vụ liên quan đến dược phẩm, vắc-xin, sinh phẩm y tế, trang thiết bị, dụng cụ y tế, phương pháp chữa bệnh, thuốc chữa bệnh và thực phẩm chức năng phải tuân thủ theo các quy định của pháp luật về y tế.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25. Quảng cáo thương mại đối với hàng hóa, dịch vụ liên quan đến thuốc thú y, thuốc bảo vệ thực vật, phân bón, thức ăn chăn nuôi và giống vật nuôi, giống cây trồng</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Quảng cáo thương mại đối với hàng hoá, dịch vụ liên quan đến thuốc thú y, thuốc bảo vệ thực vật, phân bón, thức ăn chăn nuôi, giống vật nuôi, giống cây trồng phải tuân thủ theo các quy định của pháp luật có liên quan và không được chứa đựng các nội dung sau:</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Khẳng định về tính an toàn, tính không độc hại nhưng không có xác nhận của cơ quan quản lý nhà nước có thẩm quyền.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Khẳng định về hiệu quả và tính năng của thuốc thú y, thuốc bảo vệ thực vật, phân bón, thức ăn chăn nuôi và giống vật nuôi, giống cây trồng nhưng không có cơ sở khoa học.</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Sử dụng tiếng nói, chữ viết hoặc hình ảnh vi phạm quy trình và phương pháp sử dụng an toàn thuốc thú y, thuốc bảo vệ thực vật.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26. Quảng cáo thương mại đối với hàng hóa thuộc diện phải áp dụng tiêu chuẩn, quy định kỹ thuật về chất lượng hàng hóa</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Ngoài những loại hàng hoá không thuộc diện phải áp dụng tiêu chuẩn, quy định kỹ thuật về chất lượng hàng hoá, thương nhân chỉ được phép quảng cáo thương mại đối với hàng hóa thuộc diện phải áp dụng tiêu chuẩn, quy định kỹ thuật tương ứng sau khi hàng hóa đó được cấp giấy chứng nhận phù hợp tiêu chuẩn hoặc quy định kỹ thuật của cơ quan quản lý nhà nước có thẩm quyền hoặc được công bố tiêu chuẩn chất lượng.</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2</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TRÁCH NHIỆM THỰC HIỆN QUẢNG CÁO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27. Trách nhiệm đối với nội dung sản phẩm quảng cáo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Thương nhân kinh doanh quảng cáo thương mại phải tự chịu trách nhiệm trước pháp luật nếu nội dung sản phẩm quản cáo của mình vi phạm các nội dung quảng cáo bị cấm tại Luật Thương mại và các nội dung về sản phẩm quảng cáo được quy định tại Nghị định này; phải chấp hành đúng các quy định về sử dụng phương tiện quảng cáo theo quy định của pháp luật hiện hành.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Người đứng đầu cơ quan quản lý các phương tiện thông tin đại chúng, phương tiện truyền tin, báo điện tử và các loại xuất bản phẩm chịu trách nhiệm về sản phẩm quảng cáo thương mại được quảng cáo trên phương tiện quảng cáo mà mình quản lý.</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lastRenderedPageBreak/>
        <w:t>Điều 28. Đình chỉ thực hiện quảng cáo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Cơ quan quản lý nhà nước về thương mại phối hợp với cơ quan cấp phép thực hiện quảng cáo đình chỉ quảng cáo thương mại trong trường hợp phát hiện nội dung sản phẩm quảng cáo thương mại vi phạm quy định của pháp luật.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Trong trường hợp quảng cáo thương mại bị đình chỉ, thương nhân có sản phẩm quảng cáo thương mại và cơ quan quản lý phương tiện quảng cáo có nghĩa vụ tuân thủ quyết định của các cơ quan quản lý nhà nước nêu tại khoản 1 Điều này.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IV</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HỘI CHỢ, TRIỂN LÃM THƯƠNG MẠI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1</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 xml:space="preserve">HÀNG HÓA, DỊCH VỤ TRƯNG BÀY, GIỚI THIỆU </w:t>
      </w:r>
      <w:r w:rsidRPr="00A1241C">
        <w:rPr>
          <w:rFonts w:eastAsia="Times New Roman" w:cs="Times New Roman"/>
          <w:b/>
          <w:bCs/>
          <w:color w:val="000000"/>
          <w:szCs w:val="24"/>
          <w:lang w:val="en-US" w:eastAsia="vi-VN"/>
        </w:rPr>
        <w:br/>
        <w:t>TẠI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29. Ghi nhãn hàng hóa đối với hàng hóa trưng bày, giới thiệu tại hội chợ, triển lãm thương mại tại Việt Nam</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1. Hàng hóa trưng bày, giới thiệu tại hội chợ, triển lãm thương mại tại Việt </w:t>
      </w:r>
      <w:smartTag w:uri="urn:schemas-microsoft-com:office:smarttags" w:element="country-region">
        <w:smartTag w:uri="urn:schemas-microsoft-com:office:smarttags" w:element="place">
          <w:r w:rsidRPr="00A1241C">
            <w:rPr>
              <w:rFonts w:eastAsia="Times New Roman" w:cs="Times New Roman"/>
              <w:color w:val="000000"/>
              <w:szCs w:val="24"/>
              <w:lang w:val="en-US" w:eastAsia="vi-VN"/>
            </w:rPr>
            <w:t>Nam</w:t>
          </w:r>
        </w:smartTag>
      </w:smartTag>
      <w:r w:rsidRPr="00A1241C">
        <w:rPr>
          <w:rFonts w:eastAsia="Times New Roman" w:cs="Times New Roman"/>
          <w:color w:val="000000"/>
          <w:szCs w:val="24"/>
          <w:lang w:val="en-US" w:eastAsia="vi-VN"/>
        </w:rPr>
        <w:t xml:space="preserve"> phải có nhãn hàng hóa theo quy định của pháp luật về ghi nhãn hàng hóa.</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Hàng hóa tạm nhập khẩu để trưng bày, giới thiệu tại hội chợ, triển lãm thương mại tại Việt </w:t>
      </w:r>
      <w:smartTag w:uri="urn:schemas-microsoft-com:office:smarttags" w:element="country-region">
        <w:smartTag w:uri="urn:schemas-microsoft-com:office:smarttags" w:element="place">
          <w:r w:rsidRPr="00A1241C">
            <w:rPr>
              <w:rFonts w:eastAsia="Times New Roman" w:cs="Times New Roman"/>
              <w:color w:val="000000"/>
              <w:szCs w:val="24"/>
              <w:lang w:val="en-US" w:eastAsia="vi-VN"/>
            </w:rPr>
            <w:t>Nam</w:t>
          </w:r>
        </w:smartTag>
      </w:smartTag>
      <w:r w:rsidRPr="00A1241C">
        <w:rPr>
          <w:rFonts w:eastAsia="Times New Roman" w:cs="Times New Roman"/>
          <w:color w:val="000000"/>
          <w:szCs w:val="24"/>
          <w:lang w:val="en-US" w:eastAsia="vi-VN"/>
        </w:rPr>
        <w:t xml:space="preserve"> phải thực hiện theo quy định của pháp luật về ghi nhãn hàng hóa.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30. Trưng bày hàng giả, hàng vi phạm quyền sở hữu trí tuệ để so sánh với hàng thật</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Việc tổ chức trưng bày hàng giả, hàng vi phạm quyền sở hữu trí tuệ để so sánh với hàng thật phải được sự chấp thuận của cơ quan quản lý nhà nước về thương mại có thẩm quyền theo quy định của pháp luật.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Hàng giả, hàng vi phạm quyền sở hữu trí tuệ được trưng bày để so sánh với hàng thật phải được cơ quan quản lý nhà nước có thẩm quyền theo quy định của pháp luật xác nhận hàng hóa đó là hàng giả, hàng vi phạm quyền sở hữu trí tuệ.</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Hàng giả, hàng vi phạm quyền sở hữu trí tuệ khi được trưng bày phải niêm yết rõ hàng hóa đó là hàng giả, hàng vi phạm quyền sở hữu trí tuệ.</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31. Sử dụng tên, chủ đề của hội chợ, triển lãm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Thương nhân, tổ chức hoạt động có liên quan đến thương mại khi tổ chức hội chợ, triển lãm thương mại có quyền chọn tên, chủ đề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2. Trường hợp tên, chủ đề của hội chợ, triển lãm thương mại sử dụng những từ ngữ để quảng bá chất lượng, danh hiệu của hàng hóa, dịch vụ hoặc uy tín, danh hiệu của thương nhân, tổ chức, cá nhân tham gia hội chợ triển lãm thương mại thì thương nhân, tổ chức hoạt động có liên quan đến thương mại khi tổ chức hội chợ, triển lãm thương mại phải tuân thủ các quy định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Có bằng chứng chứng minh chất lượng, danh hiệu của hàng hóa, dịch vụ tham gia hội chợ, triển lãm thương mại phù hợp với tên, chủ đề của hội chợ, triển lãm thương mại đã đăng ký;</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Có bằng chứng chứng minh uy tín, danh hiệu của thương nhân, tổ chức hoặc cá nhân tham gia hội chợ, triển lãm thương mại phù hợp với tên, chủ đề của hội chợ, triển lãm thương mại đã đăng ký.</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32. Cấp giải thưởng, chứng nhận chất lượng, danh hiệu của hàng hóa, dịch vụ, chứng nhận uy tín, danh hiệu của thương nhân, tổ chức hoặc cá nhân tham gia hội chợ, triển lãm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Việc cấp giải thưởng, chứng nhận chất lượng, danh hiệu của hàng hoá, dịch vụ hoặc uy tín, danh hiệu của thương nhân, tổ chức hoặc cá nhân tham gia hội chợ, triển lãm thương mại được thực hiện theo quy định của pháp luật có liên quan.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33. Tạm nhập tái xuất hàng hóa, dịch vụ tham gia hội chợ, triển lãm thương mại tại Việt Nam; tạm xuất tái nhập hàng hoá, dịch vụ tham gia hội chợ, triển lãm thương mại ở nước ngoài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Việc tạm nhập tái xuất hàng hóa tham gia hội chợ, triển lãm thương mại tại Việt Nam; tạm xuất tái nhập hàng hoá, dịch vụ tham gia hội chợ, triển lãm thương mại ở nước ngoài phải tuân thủ các quy định của pháp luật về hải quan và các quy định khác của pháp luật có liên quan.</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Mục 2</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TRÌNH TỰ, THỦ TỤC ĐĂNG KÝ TỔ CHỨC, THAM GIA</w:t>
      </w:r>
      <w:r w:rsidRPr="00A1241C">
        <w:rPr>
          <w:rFonts w:eastAsia="Times New Roman" w:cs="Times New Roman"/>
          <w:b/>
          <w:bCs/>
          <w:color w:val="000000"/>
          <w:szCs w:val="24"/>
          <w:lang w:val="en-US" w:eastAsia="vi-VN"/>
        </w:rPr>
        <w:br/>
        <w:t>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34. Tổ chức hội chợ, triển lãm thương mại tại Việt Nam</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Việc tổ chức hội chợ, triển lãm thương mại phải được đăng ký tại Sở Thương mại, nơi dự kiến tổ chức hội chợ, triển lãm thương mại trước ngày 01 tháng 10 của năm trước năm tổ chức hội chợ, triển lãm.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Sở Thương mại xác nhận bằng văn bản việc đăng ký tổ chức hội chợ, triển lãm thương mại của thương nhân, tổ chức hoạt động có liên quan đến thương mại chậm nhất trước ngày 01 tháng 11 của năm trước năm tổ chức hội chợ, triển lãm. Trong trường hợp không xác nhận việc đăng ký tổ chức hội chợ, triển lãm thương mại thì Sở Thương mại phải thông báo bằng văn bản và nêu rõ lý do trong thời hạn nêu tại khoản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3. Trường hợp có từ hai thương nhân, tổ chức hoạt động có liên quan đến thương mại trở lên đăng ký tổ chức hội chợ, triển lãm thương mại trùng tên, chủ đề, thời gian, địa bàn, Sở Thương mại tổ chức hiệp thương để lựa chọn thương nhân, tổ chức hoạt động có liên quan đến thương mại được tổ chức hội chợ, triển lãm thương mại đó.</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4. Trường hợp việc hiệp thương quy định tại khoản 3 Điều này không đạt kết quả, Sở Thương mại quyết định xác nhận đăng ký cho một thương nhân hoặc tổ chức hoạt động có liên quan đến thương mại được tổ chức hội chợ, triển lãm thương mại căn cứ vào các cơ sở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Kết quả tổ chức hội chợ, triển lãm thương mại tương tự đã thực hiện;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Năng lực tổ chức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Kinh nghiệm tổ chức hội chợ, triển lãm thương mại cùng tên, cùng chủ đề hoặc các hội chợ, triển lãm thương mại tương tự;</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Đánh giá của các hiệp hội ngành hàng liên quan.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Trong vòng 30 (ba mươi) ngày kể từ ngày kết thúc hội chợ, triển lãm thương mại, thương nhân, tổ chức hoạt động có liên quan đến thương mại phải có văn bản báo cáo Sở Thương mại về kết quả việc tổ chức hội chợ, triển lãm thương mại theo những nội dung đã đăng ký tại Sở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35. Thay đổi, bổ sung nội dung đăng ký tổ chức hội chợ, triển lãm thương mại tại Việt Nam</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Trường hợp thay đổi, bổ sung nội dung đăng ký tổ chức hội chợ, triển lãm thương mại, thương nhân, tổ chức hoạt động có liên quan đến thương mại phải gửi văn bản đến Sở Thương mại chậm nhất từ 30 (ba mươi) ngày đến 45 (bốn lăm) ngày, trước ngày khai mạc hội chợ, triển lãm thương mại, tuỳ thuộc vào nội dung đăng ký do Bộ Thương mại hướng dẫn.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Sở Thương mại xác nhận bằng văn bản việc thay đổi, bổ sung đăng ký  tổ chức hội chợ, triển lãm thương mại trong thời hạn 10 (mười) ngày làm việc, kể từ ngày nhận văn bản đăng ký hợp lệ. Trong trường hợp không xác nhận việc thay đổi, bổ sung nội dung đăng ký tổ chức hội chợ, triển lãm thương mại, Sở Thương mại phải trả lời bằng văn bản và nêu rõ lý do trong thời hạn nêu tại khoản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36. Tổ chức cho thương nhân, tổ chức, cá nhân tham gia hội chợ, triển lãm thương mại ở nước ngoài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Việc tổ chức cho thương nhân, tổ chức, cá nhân tham gia hội chợ, triển lãm thương mại ở nước ngoài phải được đăng ký tại Bộ Thương mại trước ngày 01 tháng 10 của năm trước năm tổ chức.</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Bộ Thương mại xác nhận bằng văn bản việc đăng ký tổ chức cho thương nhân, tổ chức, cá nhân tham gia hội chợ, triển lãm thương mại ở nước ngoài chậm nhất trước ngày 01 tháng 11 của năm trước năm tổ chức. Trong trường hợp không xác nhận việc đăng ký, Bộ Thương mại phải thông báo bằng văn bản và nêu rõ lý do trong thời hạn nêu tại khoản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3. Trường hợp có từ hai thương nhân, tổ chức hoạt động có liên quan đến thương mại  trở lên đăng ký tổ chức hội chợ, triển lãm thương mại trùng tên, chủ đề, thời gian, địa điểm ở nước ngoài, Bộ Thương mại tổ chức hiệp thương để lựa chọn thương nhân, tổ chức  hoạt động có liên quan đến thương mại thực hiện việc tổ chức cho thương nhân, tổ chức, cá nhân khác tham gia hội chợ, triển lãm thương mại ở nước ngoài.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4. Trường hợp việc hiệp thương theo quy định tại khoản 3 Điều này không đạt kết quả, Bộ Thương mại quyết định xác nhận cho một thương nhân hoặc tổ chức hoạt động có liên quan đến thương mại được tổ chức cho thương nhân, tổ chức, cá nhân khác tham gia hội chợ, triển lãm thương mại ở nước ngoài dựa trên các cơ sở sau đây: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a) Kết quả tổ chức hội chợ, triển lãm thương mại ở nước ngoài đã thực hiện;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b) Năng lực tổ chức hội chợ, triển lãm thương mại ở nước ngoài;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 Kinh nghiệm tổ chức hội chợ, triển lãm thương mại cùng tên, cùng chủ đề hoặc các hội chợ, triển lãm thương mại tương tự ở nước ngoài;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d) Đánh giá của các hiệp hội ngành hàng liên quan.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5. Trong vòng 30 (ba mươi) ngày, kể từ ngày kết thúc hội chợ, triển lãm thương mại tại nước ngoài, thương nhân, tổ chức hoạt động có liên quan đến thương mại tổ chức cho thương nhân, tổ chức, cá nhân khác tham gia hội chợ, triển lãm thương mại tại nước ngoài phải có văn bản báo cáo Bộ Thương mại về kết quả việc tổ chức tham gia hội chợ, triển lãm thương mại tại nước ngoài theo những nội dung đã đăng ký  tại Bộ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6. Thương nhân tự tổ chức hội chợ, triển lãm thương mại ở nước ngoài về hàng hóa, dịch vụ của mình không phải tuân thủ các quy định tại khoản 1, 2, 3 và 5 Điều này.</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37. Thay đổi, bổ sung nội dung đăng ký tổ chức hội chợ, triển lãm thương mại ở nước ngoài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Trường hợp thay đổi, bổ sung nội dung đăng ký tổ chức hội chợ, triển lãm thương mại ở nước ngoài, thương nhân, tổ chức hoạt động có liên quan đến thương mại phải gửi văn bản đến Bộ Thương mại chậm nhất từ 30 (ba mươi) ngày đến 45 (bốn lăm) ngày trước ngày khai mạc hội chợ, triển lãm thương mại, tuỳ thuộc vào nội dung đăng ký do Bộ Thương mại hướng dẫn.</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Bộ Thương mại  xác nhận bằng văn bản việc thay đổi, bổ sung nội dung đăng ký tổ chức hội chợ, triển lãm thương mại ở nước ngoài trong thời hạn 10 (mười) ngày làm việc, kể từ ngày nhận văn bản đăng ký hợp lệ. Trong trường hợp không xác nhận việc thay đổi, bổ sung nội dung đăng ký tổ chức hội chợ, triển lãm thương mại ở nước ngoài, Bộ Thương mại phải trả lời bằng văn bản và nêu rõ lý do trong thời hạn nêu tại khoản này.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38. Nội dung đăng ký tổ chức hội chợ, triển lãm thương mại</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Hồ sơ đăng ký tổ chức hội chợ, triển lãm thương mại theo quy định tại khoản 1 Điều 34 và khoản 1 Điều 36 Nghị định này bao gồm:</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lastRenderedPageBreak/>
        <w:t>1. Văn bản đăng ký tổ chức hội chợ, triển lãm thương mại theo mẫu của Bộ Thương mại. Nội dung đăng ký tổ chức hội chợ, triển lãm thương mại bao gồm: tên, địa chỉ của thương nhân, tổ chức hoạt động có liên quan đến thương mại  tổ chức hội chợ, triển lãm thương mại; tên, chủ đề hội chợ, triển lãm thương mại (nếu có); thời gian, địa điểm tổ chức hội chợ, triển lãm thương mại; quy mô dự kiến của hội chợ, triển lãm thương mại.</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Bản sao Giấy chứng nhận đăng ký kinh doanh - đầu tư, Quyết định thành lập hoặc các quyết định khác có giá trị pháp lý tương đương theo quy định của pháp luật.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3. Bằng chứng chứng minh chất lượng, danh hiệu của hàng hóa, dịch vụ tham gia hội chợ, triển lãm thương mại hoặc uy tín, danh hiệu của thương nhân, tổ chức hoặc cá nhân tham gia hội chợ, triển lãm thương mại phù hợp với tên, chủ đề của hội chợ, triển lãm thương mại (nếu có).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V</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THANH TRA, KIỂM TRA VÀ XỬ LÝ VI PHẠM</w:t>
      </w:r>
    </w:p>
    <w:p w:rsidR="00A1241C" w:rsidRPr="00A1241C" w:rsidRDefault="00A1241C" w:rsidP="00A1241C">
      <w:pPr>
        <w:spacing w:before="100" w:beforeAutospacing="1" w:after="100" w:afterAutospacing="1" w:line="210" w:lineRule="atLeast"/>
        <w:ind w:left="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39. Thanh tra, kiểm tra</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Trong quá trình thực hiện hoạt động xúc tiến thương mại, thương nhân, tổ chức hoạt động có liên quan đến thương mại, cá nhân hoạt động thương mại độc lập phải chịu sự kiểm tra, thanh tra của cơ quan có thẩm quyền theo quy định của pháp luật Việt Nam. Việc thanh tra, kiểm tra hoạt động xúc tiến thương mại phải đảm bảo thực hiện đúng chức năng, đúng thẩm quyền và tuân thủ quy định của pháp luật về thanh tra, kiểm tra.</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 xml:space="preserve">2. Cán bộ, công chức nhà nước lợi dụng việc kiểm tra, thanh tra để vụ lợi, sách nhiễu, gây phiền hà cho hoạt động xúc tiến thương mại tuỳ theo mức độ vi phạm sẽ bị xử lý kỷ luật hoặc truy cứu trách nhiệm hình sự, nếu gây ra thiệt hại phải bồi thường theo quy định của pháp luật.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40. Xử lý vi phạm</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Thương nhân, tổ chức hoạt động có liên quan đến thương mại, cá nhân hoạt động thương mại vi phạm Nghị định này, tuỳ theo mức độ vi phạm sẽ bị xử lý vi phạm hành chính hoặc bị truy cứu trách nhiệm hình sự theo quy định của pháp luật.</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41. Khiếu nại, tố cáo</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Thương nhân, tổ chức hoạt động có liên quan đến thương mại, cá nhân hoạt động thương mại có quyền khiếu nại, tố cáo đối với các quyết định và hành vi trái pháp luật, gây khó khăn, phiền hà của cán bộ, công chức nhà nước. Việc khiếu nại, tố cáo và việc giải quyết khiếu nại, tố cáo được thực hiện theo quy định của pháp luật về khiếu nại, tố cáo.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Người có thẩm quyền giải quyết khiếu nại, tố cáo mà không giải quyết, thiếu trách nhiệm trong việc giải quyết, giải quyết trái pháp luật thì tuỳ theo tính chất, mức độ vi phạm sẽ bị xử lý kỷ luật hoặc truy cứu trách nhiệm hình sự; nếu gây ra thiệt hại phải bồi thường theo quy định của pháp luật. </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Chương VI</w:t>
      </w:r>
    </w:p>
    <w:p w:rsidR="00A1241C" w:rsidRPr="00A1241C" w:rsidRDefault="00A1241C" w:rsidP="00A1241C">
      <w:pPr>
        <w:spacing w:before="100" w:beforeAutospacing="1" w:after="100" w:afterAutospacing="1" w:line="210" w:lineRule="atLeast"/>
        <w:jc w:val="center"/>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lastRenderedPageBreak/>
        <w:t>ĐIỀU KHOẢN THI HÀNH</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42. Hiệu lực thi hành</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1. Nghị định này có hiệu lực thi hành sau 15 ngày, kể từ ngày đăng Công báo.</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2. Nghị định số 32/1999/NĐ-CP ngày 05 tháng 5 năm 1999 về khuyến mại, quảng cáo thương mại và hội chợ, triển lãm thương mại hết hiệu lực kể từ ngày Nghị định này có hiệu lực.</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ascii="Verdana" w:eastAsia="Times New Roman" w:hAnsi="Verdana" w:cs="Times New Roman"/>
          <w:b/>
          <w:bCs/>
          <w:color w:val="000000"/>
          <w:szCs w:val="24"/>
          <w:lang w:val="en-US" w:eastAsia="vi-VN"/>
        </w:rPr>
        <w:t>Điều 43. Tổ chức thực hiện</w:t>
      </w:r>
      <w:r w:rsidRPr="00A1241C">
        <w:rPr>
          <w:rFonts w:eastAsia="Times New Roman" w:cs="Times New Roman"/>
          <w:color w:val="000000"/>
          <w:szCs w:val="24"/>
          <w:lang w:val="en-US" w:eastAsia="vi-VN"/>
        </w:rPr>
        <w:t xml:space="preserve"> </w:t>
      </w:r>
    </w:p>
    <w:p w:rsidR="00A1241C" w:rsidRPr="00A1241C" w:rsidRDefault="00A1241C" w:rsidP="00A1241C">
      <w:pPr>
        <w:spacing w:before="100" w:beforeAutospacing="1" w:after="100" w:afterAutospacing="1" w:line="210" w:lineRule="atLeast"/>
        <w:ind w:firstLine="720"/>
        <w:jc w:val="both"/>
        <w:rPr>
          <w:rFonts w:eastAsia="Times New Roman" w:cs="Times New Roman"/>
          <w:color w:val="000000"/>
          <w:szCs w:val="24"/>
          <w:lang w:val="en-US" w:eastAsia="vi-VN"/>
        </w:rPr>
      </w:pPr>
      <w:r w:rsidRPr="00A1241C">
        <w:rPr>
          <w:rFonts w:eastAsia="Times New Roman" w:cs="Times New Roman"/>
          <w:color w:val="000000"/>
          <w:szCs w:val="24"/>
          <w:lang w:val="en-US" w:eastAsia="vi-VN"/>
        </w:rPr>
        <w:t>Các Bộ trưởng, Thủ trưởng cơ quan ngang Bộ, Thủ trưởng cơ quan thuộc Chính phủ, Chủ tịch Ủy ban nhân dân tỉnh, thành phố trực thuộc Trung ương chịu trách nhiệm hướng dẫn và thi hành Nghị định này./.</w:t>
      </w:r>
    </w:p>
    <w:tbl>
      <w:tblPr>
        <w:tblW w:w="5000" w:type="pct"/>
        <w:tblCellSpacing w:w="15" w:type="dxa"/>
        <w:tblCellMar>
          <w:left w:w="0" w:type="dxa"/>
          <w:right w:w="0" w:type="dxa"/>
        </w:tblCellMar>
        <w:tblLook w:val="04A0" w:firstRow="1" w:lastRow="0" w:firstColumn="1" w:lastColumn="0" w:noHBand="0" w:noVBand="1"/>
      </w:tblPr>
      <w:tblGrid>
        <w:gridCol w:w="5407"/>
        <w:gridCol w:w="3619"/>
      </w:tblGrid>
      <w:tr w:rsidR="00A1241C" w:rsidRPr="00A1241C" w:rsidTr="00A1241C">
        <w:trPr>
          <w:tblCellSpacing w:w="15" w:type="dxa"/>
        </w:trPr>
        <w:tc>
          <w:tcPr>
            <w:tcW w:w="3000" w:type="pct"/>
            <w:vAlign w:val="center"/>
            <w:hideMark/>
          </w:tcPr>
          <w:p w:rsidR="00A1241C" w:rsidRPr="00A1241C" w:rsidRDefault="00A1241C" w:rsidP="00A1241C">
            <w:pPr>
              <w:spacing w:before="100" w:beforeAutospacing="1" w:after="100" w:afterAutospacing="1" w:line="240" w:lineRule="auto"/>
              <w:rPr>
                <w:rFonts w:eastAsia="Times New Roman" w:cs="Times New Roman"/>
                <w:color w:val="000000"/>
                <w:szCs w:val="24"/>
                <w:lang w:eastAsia="vi-VN"/>
              </w:rPr>
            </w:pPr>
            <w:r w:rsidRPr="00A1241C">
              <w:rPr>
                <w:rFonts w:eastAsia="Times New Roman" w:cs="Times New Roman"/>
                <w:color w:val="000000"/>
                <w:szCs w:val="24"/>
                <w:lang w:eastAsia="vi-VN"/>
              </w:rPr>
              <w:t> </w:t>
            </w:r>
          </w:p>
          <w:p w:rsidR="00A1241C" w:rsidRPr="00A1241C" w:rsidRDefault="00A1241C" w:rsidP="00A1241C">
            <w:pPr>
              <w:spacing w:before="100" w:beforeAutospacing="1" w:after="100" w:afterAutospacing="1" w:line="240" w:lineRule="auto"/>
              <w:rPr>
                <w:rFonts w:eastAsia="Times New Roman" w:cs="Times New Roman"/>
                <w:color w:val="000000"/>
                <w:szCs w:val="24"/>
                <w:lang w:eastAsia="vi-VN"/>
              </w:rPr>
            </w:pPr>
            <w:r w:rsidRPr="00A1241C">
              <w:rPr>
                <w:rFonts w:ascii="Verdana" w:eastAsia="Times New Roman" w:hAnsi="Verdana" w:cs="Times New Roman"/>
                <w:b/>
                <w:bCs/>
                <w:i/>
                <w:iCs/>
                <w:color w:val="000000"/>
                <w:szCs w:val="24"/>
                <w:lang w:eastAsia="vi-VN"/>
              </w:rPr>
              <w:t>Nơi nhận:</w:t>
            </w:r>
            <w:r w:rsidRPr="00A1241C">
              <w:rPr>
                <w:rFonts w:eastAsia="Times New Roman" w:cs="Times New Roman"/>
                <w:b/>
                <w:bCs/>
                <w:i/>
                <w:iCs/>
                <w:color w:val="000000"/>
                <w:szCs w:val="24"/>
                <w:lang w:eastAsia="vi-VN"/>
              </w:rPr>
              <w:br/>
            </w:r>
            <w:r w:rsidRPr="00A1241C">
              <w:rPr>
                <w:rFonts w:eastAsia="Times New Roman" w:cs="Times New Roman"/>
                <w:color w:val="000000"/>
                <w:szCs w:val="24"/>
                <w:lang w:eastAsia="vi-VN"/>
              </w:rPr>
              <w:t>- Ban Bí thư Trung ương Đảng;</w:t>
            </w:r>
            <w:r w:rsidRPr="00A1241C">
              <w:rPr>
                <w:rFonts w:eastAsia="Times New Roman" w:cs="Times New Roman"/>
                <w:color w:val="000000"/>
                <w:szCs w:val="24"/>
                <w:lang w:eastAsia="vi-VN"/>
              </w:rPr>
              <w:br/>
              <w:t>- Thủ tướng, các Phó Thủ tướng Chính phủ;</w:t>
            </w:r>
            <w:r w:rsidRPr="00A1241C">
              <w:rPr>
                <w:rFonts w:eastAsia="Times New Roman" w:cs="Times New Roman"/>
                <w:color w:val="000000"/>
                <w:szCs w:val="24"/>
                <w:lang w:eastAsia="vi-VN"/>
              </w:rPr>
              <w:br/>
              <w:t>- Các Bộ, cơ quan ngang Bộ, cơ quan thuộc CP;</w:t>
            </w:r>
            <w:r w:rsidRPr="00A1241C">
              <w:rPr>
                <w:rFonts w:eastAsia="Times New Roman" w:cs="Times New Roman"/>
                <w:color w:val="000000"/>
                <w:szCs w:val="24"/>
                <w:lang w:eastAsia="vi-VN"/>
              </w:rPr>
              <w:br/>
              <w:t>- HĐND, UBND các tỉnh,  thành phố trực thuộc Trung ương;</w:t>
            </w:r>
            <w:r w:rsidRPr="00A1241C">
              <w:rPr>
                <w:rFonts w:eastAsia="Times New Roman" w:cs="Times New Roman"/>
                <w:color w:val="000000"/>
                <w:szCs w:val="24"/>
                <w:lang w:eastAsia="vi-VN"/>
              </w:rPr>
              <w:br/>
              <w:t>- Văn phòng Trung ương và các Ban của Đảng;</w:t>
            </w:r>
            <w:r w:rsidRPr="00A1241C">
              <w:rPr>
                <w:rFonts w:eastAsia="Times New Roman" w:cs="Times New Roman"/>
                <w:color w:val="000000"/>
                <w:szCs w:val="24"/>
                <w:lang w:eastAsia="vi-VN"/>
              </w:rPr>
              <w:br/>
              <w:t>- Văn phòng Chủ tịch nước;</w:t>
            </w:r>
            <w:r w:rsidRPr="00A1241C">
              <w:rPr>
                <w:rFonts w:eastAsia="Times New Roman" w:cs="Times New Roman"/>
                <w:color w:val="000000"/>
                <w:szCs w:val="24"/>
                <w:lang w:eastAsia="vi-VN"/>
              </w:rPr>
              <w:br/>
              <w:t>- Hội đồng Dân tộc và các Ủy ban của QH;</w:t>
            </w:r>
            <w:r w:rsidRPr="00A1241C">
              <w:rPr>
                <w:rFonts w:eastAsia="Times New Roman" w:cs="Times New Roman"/>
                <w:color w:val="000000"/>
                <w:szCs w:val="24"/>
                <w:lang w:eastAsia="vi-VN"/>
              </w:rPr>
              <w:br/>
              <w:t>- Văn phòng Quốc hội;</w:t>
            </w:r>
            <w:r w:rsidRPr="00A1241C">
              <w:rPr>
                <w:rFonts w:eastAsia="Times New Roman" w:cs="Times New Roman"/>
                <w:color w:val="000000"/>
                <w:szCs w:val="24"/>
                <w:lang w:eastAsia="vi-VN"/>
              </w:rPr>
              <w:br/>
              <w:t>- Tòa án nhân dân tối cao;</w:t>
            </w:r>
            <w:r w:rsidRPr="00A1241C">
              <w:rPr>
                <w:rFonts w:eastAsia="Times New Roman" w:cs="Times New Roman"/>
                <w:color w:val="000000"/>
                <w:szCs w:val="24"/>
                <w:lang w:eastAsia="vi-VN"/>
              </w:rPr>
              <w:br/>
              <w:t>- Viện Kiểm sát nhân dân tối cao;</w:t>
            </w:r>
            <w:r w:rsidRPr="00A1241C">
              <w:rPr>
                <w:rFonts w:eastAsia="Times New Roman" w:cs="Times New Roman"/>
                <w:color w:val="000000"/>
                <w:szCs w:val="24"/>
                <w:lang w:eastAsia="vi-VN"/>
              </w:rPr>
              <w:br/>
              <w:t>- Cơ quan Trung ương của các đoàn thể;</w:t>
            </w:r>
            <w:r w:rsidRPr="00A1241C">
              <w:rPr>
                <w:rFonts w:eastAsia="Times New Roman" w:cs="Times New Roman"/>
                <w:color w:val="000000"/>
                <w:szCs w:val="24"/>
                <w:lang w:eastAsia="vi-VN"/>
              </w:rPr>
              <w:br/>
              <w:t>- Học viện Hành chính quốc gia;</w:t>
            </w:r>
            <w:r w:rsidRPr="00A1241C">
              <w:rPr>
                <w:rFonts w:eastAsia="Times New Roman" w:cs="Times New Roman"/>
                <w:color w:val="000000"/>
                <w:szCs w:val="24"/>
                <w:lang w:eastAsia="vi-VN"/>
              </w:rPr>
              <w:br/>
              <w:t>- VPCP: BTCN, TBNC, các PCN, BNC,  Website Chính phủ, Ban Điều hành 112,  Người phát ngôn của Thủ tướng Chính phủ,  các Vụ, Cục, đơn vị trực thuộc, Công báo;</w:t>
            </w:r>
          </w:p>
        </w:tc>
        <w:tc>
          <w:tcPr>
            <w:tcW w:w="2000" w:type="pct"/>
            <w:hideMark/>
          </w:tcPr>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ascii="Verdana" w:eastAsia="Times New Roman" w:hAnsi="Verdana" w:cs="Times New Roman"/>
                <w:b/>
                <w:bCs/>
                <w:color w:val="000000"/>
                <w:szCs w:val="24"/>
                <w:lang w:eastAsia="vi-VN"/>
              </w:rPr>
              <w:t>TM. CHÍNH PHỦ</w:t>
            </w:r>
          </w:p>
          <w:p w:rsidR="00A1241C" w:rsidRPr="00A1241C" w:rsidRDefault="00A1241C" w:rsidP="00A1241C">
            <w:pPr>
              <w:spacing w:before="100" w:beforeAutospacing="1" w:after="100" w:afterAutospacing="1" w:line="240" w:lineRule="auto"/>
              <w:jc w:val="center"/>
              <w:rPr>
                <w:rFonts w:eastAsia="Times New Roman" w:cs="Times New Roman"/>
                <w:color w:val="000000"/>
                <w:szCs w:val="24"/>
                <w:lang w:eastAsia="vi-VN"/>
              </w:rPr>
            </w:pPr>
            <w:r w:rsidRPr="00A1241C">
              <w:rPr>
                <w:rFonts w:ascii="Verdana" w:eastAsia="Times New Roman" w:hAnsi="Verdana" w:cs="Times New Roman"/>
                <w:b/>
                <w:bCs/>
                <w:color w:val="000000"/>
                <w:szCs w:val="24"/>
                <w:lang w:eastAsia="vi-VN"/>
              </w:rPr>
              <w:t>THỦ TƯỚNG</w:t>
            </w:r>
          </w:p>
          <w:p w:rsidR="00A1241C" w:rsidRPr="00A1241C" w:rsidRDefault="00A1241C" w:rsidP="00A1241C">
            <w:pPr>
              <w:spacing w:before="100" w:beforeAutospacing="1" w:after="100" w:afterAutospacing="1" w:line="240" w:lineRule="auto"/>
              <w:jc w:val="center"/>
              <w:rPr>
                <w:rFonts w:ascii="Verdana" w:eastAsia="Times New Roman" w:hAnsi="Verdana" w:cs="Times New Roman"/>
                <w:b/>
                <w:bCs/>
                <w:i/>
                <w:color w:val="000000"/>
                <w:sz w:val="17"/>
                <w:szCs w:val="17"/>
                <w:lang w:eastAsia="vi-VN"/>
              </w:rPr>
            </w:pPr>
            <w:r w:rsidRPr="00A1241C">
              <w:rPr>
                <w:rFonts w:ascii="Verdana" w:eastAsia="Times New Roman" w:hAnsi="Verdana" w:cs="Times New Roman"/>
                <w:b/>
                <w:bCs/>
                <w:i/>
                <w:color w:val="000000"/>
                <w:szCs w:val="24"/>
                <w:lang w:eastAsia="vi-VN"/>
              </w:rPr>
              <w:t>(Đã ký)</w:t>
            </w:r>
          </w:p>
          <w:p w:rsidR="00A1241C" w:rsidRPr="00A1241C" w:rsidRDefault="00A1241C" w:rsidP="00A1241C">
            <w:pPr>
              <w:spacing w:before="100" w:beforeAutospacing="1" w:after="100" w:afterAutospacing="1" w:line="240" w:lineRule="auto"/>
              <w:jc w:val="center"/>
              <w:rPr>
                <w:rFonts w:eastAsia="Times New Roman" w:cs="Times New Roman"/>
                <w:color w:val="000000"/>
                <w:sz w:val="17"/>
                <w:szCs w:val="17"/>
                <w:lang w:eastAsia="vi-VN"/>
              </w:rPr>
            </w:pPr>
            <w:r w:rsidRPr="00A1241C">
              <w:rPr>
                <w:rFonts w:ascii="Verdana" w:eastAsia="Times New Roman" w:hAnsi="Verdana" w:cs="Times New Roman"/>
                <w:b/>
                <w:bCs/>
                <w:color w:val="000000"/>
                <w:szCs w:val="24"/>
                <w:lang w:eastAsia="vi-VN"/>
              </w:rPr>
              <w:t>Phan Văn Khải</w:t>
            </w:r>
          </w:p>
        </w:tc>
      </w:tr>
    </w:tbl>
    <w:p w:rsidR="00A1241C" w:rsidRPr="00A1241C" w:rsidRDefault="00A1241C" w:rsidP="00A1241C">
      <w:pPr>
        <w:spacing w:after="0" w:line="240" w:lineRule="auto"/>
        <w:jc w:val="both"/>
        <w:rPr>
          <w:rFonts w:eastAsia="Times New Roman" w:cs="Times New Roman"/>
          <w:szCs w:val="24"/>
          <w:lang w:val="en-US" w:eastAsia="vi-VN"/>
        </w:rPr>
      </w:pPr>
    </w:p>
    <w:p w:rsidR="00A1241C" w:rsidRPr="00A1241C" w:rsidRDefault="00A1241C" w:rsidP="00A1241C">
      <w:bookmarkStart w:id="0" w:name="_GoBack"/>
      <w:bookmarkEnd w:id="0"/>
    </w:p>
    <w:sectPr w:rsidR="00A1241C" w:rsidRPr="00A12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701753"/>
    <w:rsid w:val="007D1B01"/>
    <w:rsid w:val="008D7C09"/>
    <w:rsid w:val="008E5057"/>
    <w:rsid w:val="009D24F5"/>
    <w:rsid w:val="00A01EF6"/>
    <w:rsid w:val="00A1241C"/>
    <w:rsid w:val="00A141E2"/>
    <w:rsid w:val="00AC4796"/>
    <w:rsid w:val="00AC528A"/>
    <w:rsid w:val="00B46BDF"/>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5611</Words>
  <Characters>31988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2017-11-19T05:32:00Z</dcterms:created>
  <dcterms:modified xsi:type="dcterms:W3CDTF">2017-11-19T05:32:00Z</dcterms:modified>
</cp:coreProperties>
</file>